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E31" w:rsidRPr="00622E31" w:rsidRDefault="00622E31" w:rsidP="00394F62">
      <w:pPr>
        <w:spacing w:line="360" w:lineRule="auto"/>
        <w:jc w:val="both"/>
        <w:rPr>
          <w:rFonts w:ascii="Bell MT" w:hAnsi="Bell MT"/>
          <w:sz w:val="30"/>
          <w:szCs w:val="30"/>
        </w:rPr>
      </w:pPr>
    </w:p>
    <w:p w:rsidR="00622E31" w:rsidRPr="00622E31" w:rsidRDefault="00622E31" w:rsidP="00394F62">
      <w:pPr>
        <w:spacing w:line="360" w:lineRule="auto"/>
        <w:jc w:val="both"/>
        <w:rPr>
          <w:rFonts w:ascii="Bell MT" w:hAnsi="Bell MT"/>
          <w:sz w:val="30"/>
          <w:szCs w:val="30"/>
        </w:rPr>
      </w:pPr>
    </w:p>
    <w:p w:rsidR="00EC3F61" w:rsidRPr="00622E31" w:rsidRDefault="00622E31" w:rsidP="00394F62">
      <w:pPr>
        <w:spacing w:line="360" w:lineRule="auto"/>
        <w:jc w:val="both"/>
        <w:rPr>
          <w:rFonts w:ascii="Bell MT" w:hAnsi="Bell MT"/>
          <w:sz w:val="30"/>
          <w:szCs w:val="30"/>
        </w:rPr>
      </w:pPr>
      <w:r>
        <w:rPr>
          <w:rFonts w:ascii="Bell MT" w:hAnsi="Bell MT"/>
          <w:sz w:val="30"/>
          <w:szCs w:val="30"/>
        </w:rPr>
        <w:t xml:space="preserve">A efectos de dar cumplimiento a </w:t>
      </w:r>
      <w:r w:rsidR="00EC3F61" w:rsidRPr="00622E31">
        <w:rPr>
          <w:rFonts w:ascii="Bell MT" w:hAnsi="Bell MT"/>
          <w:sz w:val="30"/>
          <w:szCs w:val="30"/>
        </w:rPr>
        <w:t>lo establecido en el artículo 121, fracción X</w:t>
      </w:r>
      <w:r w:rsidR="009F512D">
        <w:rPr>
          <w:rFonts w:ascii="Bell MT" w:hAnsi="Bell MT"/>
          <w:sz w:val="30"/>
          <w:szCs w:val="30"/>
        </w:rPr>
        <w:t>XXV</w:t>
      </w:r>
      <w:r w:rsidR="00EC3F61" w:rsidRPr="00622E31">
        <w:rPr>
          <w:rFonts w:ascii="Bell MT" w:hAnsi="Bell MT"/>
          <w:sz w:val="30"/>
          <w:szCs w:val="30"/>
        </w:rPr>
        <w:t xml:space="preserve"> de la Ley de Transparencia, Acceso a la Información Pública y Rendición de Cuentas de la Ciudad de México, que a la letra señala: </w:t>
      </w:r>
    </w:p>
    <w:p w:rsidR="00EC3F61" w:rsidRPr="00622E31" w:rsidRDefault="00EC3F61" w:rsidP="00394F62">
      <w:pPr>
        <w:spacing w:line="360" w:lineRule="auto"/>
        <w:jc w:val="center"/>
        <w:rPr>
          <w:rFonts w:ascii="Bell MT" w:hAnsi="Bell MT"/>
          <w:b/>
          <w:i/>
          <w:sz w:val="30"/>
          <w:szCs w:val="30"/>
        </w:rPr>
      </w:pPr>
      <w:r w:rsidRPr="00622E31">
        <w:rPr>
          <w:rFonts w:ascii="Bell MT" w:hAnsi="Bell MT"/>
          <w:b/>
          <w:i/>
          <w:sz w:val="30"/>
          <w:szCs w:val="30"/>
        </w:rPr>
        <w:t>“X</w:t>
      </w:r>
      <w:r w:rsidR="009F512D" w:rsidRPr="009F512D">
        <w:rPr>
          <w:rFonts w:ascii="Bell MT" w:hAnsi="Bell MT"/>
          <w:b/>
          <w:i/>
          <w:sz w:val="30"/>
          <w:szCs w:val="30"/>
        </w:rPr>
        <w:t>XXV. Los convenios de coordinación de concertación con los sectores social y privado; así como los convenios institucionales celebrados por el sujeto obligado, especificando el tipo de convenio, con quién se celebra, objetivo, fecha de celebración y vigencia;</w:t>
      </w:r>
      <w:r w:rsidR="000235BF">
        <w:rPr>
          <w:rFonts w:ascii="Bell MT" w:hAnsi="Bell MT"/>
          <w:b/>
          <w:i/>
          <w:sz w:val="30"/>
          <w:szCs w:val="30"/>
        </w:rPr>
        <w:t>”</w:t>
      </w:r>
    </w:p>
    <w:p w:rsidR="00EC3F61" w:rsidRDefault="0039124B" w:rsidP="0039124B">
      <w:pPr>
        <w:spacing w:line="360" w:lineRule="auto"/>
        <w:jc w:val="both"/>
        <w:rPr>
          <w:rFonts w:ascii="Bell MT" w:hAnsi="Bell MT"/>
          <w:sz w:val="30"/>
          <w:szCs w:val="30"/>
        </w:rPr>
      </w:pPr>
      <w:r w:rsidRPr="0039124B">
        <w:rPr>
          <w:rFonts w:ascii="Bell MT" w:hAnsi="Bell MT"/>
          <w:sz w:val="30"/>
          <w:szCs w:val="30"/>
        </w:rPr>
        <w:t xml:space="preserve">Se informa que, durante el periodo que se reporta, en esta Dirección General de Desarrollo Social, no se llevaron a cabo </w:t>
      </w:r>
      <w:r w:rsidR="009F512D" w:rsidRPr="009F512D">
        <w:rPr>
          <w:rFonts w:ascii="Bell MT" w:hAnsi="Bell MT"/>
          <w:sz w:val="30"/>
          <w:szCs w:val="30"/>
        </w:rPr>
        <w:t>convenios de coordinación de concertación con los sectores social y privado</w:t>
      </w:r>
      <w:r w:rsidR="00FC29F2">
        <w:rPr>
          <w:rFonts w:ascii="Bell MT" w:hAnsi="Bell MT"/>
          <w:sz w:val="30"/>
          <w:szCs w:val="30"/>
        </w:rPr>
        <w:t xml:space="preserve">, ni </w:t>
      </w:r>
      <w:r w:rsidR="009F512D" w:rsidRPr="009F512D">
        <w:rPr>
          <w:rFonts w:ascii="Bell MT" w:hAnsi="Bell MT"/>
          <w:sz w:val="30"/>
          <w:szCs w:val="30"/>
        </w:rPr>
        <w:t>convenios institucionales</w:t>
      </w:r>
      <w:r w:rsidRPr="0039124B">
        <w:rPr>
          <w:rFonts w:ascii="Bell MT" w:hAnsi="Bell MT"/>
          <w:sz w:val="30"/>
          <w:szCs w:val="30"/>
        </w:rPr>
        <w:t xml:space="preserve">. Por lo cual, no se </w:t>
      </w:r>
      <w:r w:rsidR="009F512D">
        <w:rPr>
          <w:rFonts w:ascii="Bell MT" w:hAnsi="Bell MT"/>
          <w:sz w:val="30"/>
          <w:szCs w:val="30"/>
        </w:rPr>
        <w:t>publica</w:t>
      </w:r>
      <w:r w:rsidRPr="0039124B">
        <w:rPr>
          <w:rFonts w:ascii="Bell MT" w:hAnsi="Bell MT"/>
          <w:sz w:val="30"/>
          <w:szCs w:val="30"/>
        </w:rPr>
        <w:t xml:space="preserve"> información</w:t>
      </w:r>
      <w:r w:rsidR="009F512D">
        <w:rPr>
          <w:rFonts w:ascii="Bell MT" w:hAnsi="Bell MT"/>
          <w:sz w:val="30"/>
          <w:szCs w:val="30"/>
        </w:rPr>
        <w:t xml:space="preserve"> al respecto</w:t>
      </w:r>
      <w:r w:rsidRPr="0039124B">
        <w:rPr>
          <w:rFonts w:ascii="Bell MT" w:hAnsi="Bell MT"/>
          <w:sz w:val="30"/>
          <w:szCs w:val="30"/>
        </w:rPr>
        <w:t>.</w:t>
      </w:r>
    </w:p>
    <w:sectPr w:rsidR="00EC3F61" w:rsidSect="004D1DB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861" w:rsidRDefault="00D47861" w:rsidP="00EC3F61">
      <w:pPr>
        <w:spacing w:after="0" w:line="240" w:lineRule="auto"/>
      </w:pPr>
      <w:r>
        <w:separator/>
      </w:r>
    </w:p>
  </w:endnote>
  <w:endnote w:type="continuationSeparator" w:id="1">
    <w:p w:rsidR="00D47861" w:rsidRDefault="00D47861" w:rsidP="00EC3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otha blo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E31" w:rsidRPr="00956FE4" w:rsidRDefault="00622E31" w:rsidP="00622E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color w:val="000000"/>
        <w:lang w:eastAsia="es-MX"/>
      </w:rPr>
    </w:pPr>
    <w:r w:rsidRPr="00956FE4">
      <w:rPr>
        <w:rFonts w:ascii="Calibri" w:eastAsia="Calibri" w:hAnsi="Calibri" w:cs="Calibri"/>
        <w:color w:val="000000"/>
        <w:lang w:eastAsia="es-MX"/>
      </w:rPr>
      <w:t>ALCALDÍA ÁLVARO OBREGÓN</w:t>
    </w:r>
  </w:p>
  <w:p w:rsidR="00622E31" w:rsidRPr="00956FE4" w:rsidRDefault="00622E31" w:rsidP="00622E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color w:val="000000"/>
        <w:lang w:eastAsia="es-MX"/>
      </w:rPr>
    </w:pPr>
    <w:r w:rsidRPr="00956FE4">
      <w:rPr>
        <w:rFonts w:ascii="Calibri" w:eastAsia="Calibri" w:hAnsi="Calibri" w:cs="Calibri"/>
        <w:color w:val="000000"/>
        <w:lang w:eastAsia="es-MX"/>
      </w:rPr>
      <w:t>Av. Canario esquina Calle 10, Colonia Tolteca, C.P. 1150, CDMX.</w:t>
    </w:r>
  </w:p>
  <w:p w:rsidR="00622E31" w:rsidRPr="00622E31" w:rsidRDefault="00622E31" w:rsidP="00622E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color w:val="000000"/>
        <w:lang w:eastAsia="es-MX"/>
      </w:rPr>
    </w:pPr>
    <w:r w:rsidRPr="00956FE4">
      <w:rPr>
        <w:rFonts w:ascii="Calibri" w:eastAsia="Calibri" w:hAnsi="Calibri" w:cs="Calibri"/>
        <w:color w:val="000000"/>
        <w:lang w:eastAsia="es-MX"/>
      </w:rPr>
      <w:t>Tel.  5276 6800</w:t>
    </w:r>
    <w:r>
      <w:rPr>
        <w:rFonts w:ascii="Calibri" w:eastAsia="Calibri" w:hAnsi="Calibri" w:cs="Calibri"/>
        <w:color w:val="000000"/>
        <w:lang w:eastAsia="es-MX"/>
      </w:rPr>
      <w:t xml:space="preserve"> ext.6857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861" w:rsidRDefault="00D47861" w:rsidP="00EC3F61">
      <w:pPr>
        <w:spacing w:after="0" w:line="240" w:lineRule="auto"/>
      </w:pPr>
      <w:r>
        <w:separator/>
      </w:r>
    </w:p>
  </w:footnote>
  <w:footnote w:type="continuationSeparator" w:id="1">
    <w:p w:rsidR="00D47861" w:rsidRDefault="00D47861" w:rsidP="00EC3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F61" w:rsidRDefault="002E33A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3590290</wp:posOffset>
          </wp:positionH>
          <wp:positionV relativeFrom="paragraph">
            <wp:posOffset>-191770</wp:posOffset>
          </wp:positionV>
          <wp:extent cx="1936115" cy="695325"/>
          <wp:effectExtent l="19050" t="0" r="6985" b="0"/>
          <wp:wrapSquare wrapText="bothSides"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11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1655"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5.3pt;margin-top:0;width:285.9pt;height:45.5pt;z-index:251659264;mso-position-horizontal-relative:text;mso-position-vertical-relative:text" stroked="f">
          <v:textbox style="mso-next-textbox:#_x0000_s2050" inset="0">
            <w:txbxContent>
              <w:p w:rsidR="00622E31" w:rsidRPr="002E33A5" w:rsidRDefault="00622E31" w:rsidP="00622E3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spacing w:after="0" w:line="240" w:lineRule="auto"/>
                  <w:jc w:val="center"/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</w:pPr>
                <w:bookmarkStart w:id="0" w:name="OLE_LINK1"/>
                <w:r w:rsidRPr="002E33A5"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  <w:t>Alcaldía Álvaro Obregón</w:t>
                </w:r>
              </w:p>
              <w:p w:rsidR="00622E31" w:rsidRPr="002E33A5" w:rsidRDefault="00622E31" w:rsidP="00622E3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spacing w:after="0" w:line="240" w:lineRule="auto"/>
                  <w:jc w:val="center"/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</w:pPr>
                <w:r w:rsidRPr="002E33A5"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  <w:t>Dirección General de Desarrollo Social</w:t>
                </w:r>
              </w:p>
              <w:bookmarkEnd w:id="0"/>
              <w:p w:rsidR="00622E31" w:rsidRPr="002E33A5" w:rsidRDefault="00622E31" w:rsidP="00622E31">
                <w:pPr>
                  <w:spacing w:after="0" w:line="240" w:lineRule="auto"/>
                  <w:jc w:val="center"/>
                  <w:rPr>
                    <w:rFonts w:ascii="Gotha blod" w:eastAsia="Calibri" w:hAnsi="Gotha blod" w:cs="Arial"/>
                    <w:b/>
                    <w:bCs/>
                    <w:color w:val="262626"/>
                    <w:sz w:val="20"/>
                    <w:szCs w:val="18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C3F61"/>
    <w:rsid w:val="000235BF"/>
    <w:rsid w:val="000F0945"/>
    <w:rsid w:val="00131CA8"/>
    <w:rsid w:val="001E1655"/>
    <w:rsid w:val="002030C6"/>
    <w:rsid w:val="002E09F9"/>
    <w:rsid w:val="002E33A5"/>
    <w:rsid w:val="0039124B"/>
    <w:rsid w:val="00394F62"/>
    <w:rsid w:val="003B0D40"/>
    <w:rsid w:val="00421A9C"/>
    <w:rsid w:val="00456A45"/>
    <w:rsid w:val="004D1DB5"/>
    <w:rsid w:val="00622E31"/>
    <w:rsid w:val="006B71DD"/>
    <w:rsid w:val="007519E9"/>
    <w:rsid w:val="007B7842"/>
    <w:rsid w:val="00995C65"/>
    <w:rsid w:val="009F512D"/>
    <w:rsid w:val="00A12A37"/>
    <w:rsid w:val="00A340D1"/>
    <w:rsid w:val="00AC4443"/>
    <w:rsid w:val="00C36D50"/>
    <w:rsid w:val="00CE4219"/>
    <w:rsid w:val="00D47861"/>
    <w:rsid w:val="00DF74D0"/>
    <w:rsid w:val="00E70189"/>
    <w:rsid w:val="00EC3F61"/>
    <w:rsid w:val="00FC2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D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C3F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C3F61"/>
  </w:style>
  <w:style w:type="paragraph" w:styleId="Piedepgina">
    <w:name w:val="footer"/>
    <w:basedOn w:val="Normal"/>
    <w:link w:val="PiedepginaCar"/>
    <w:uiPriority w:val="99"/>
    <w:semiHidden/>
    <w:unhideWhenUsed/>
    <w:rsid w:val="00EC3F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C3F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henna.navarro</dc:creator>
  <cp:lastModifiedBy>henna.navarro</cp:lastModifiedBy>
  <cp:revision>4</cp:revision>
  <dcterms:created xsi:type="dcterms:W3CDTF">2019-04-04T16:34:00Z</dcterms:created>
  <dcterms:modified xsi:type="dcterms:W3CDTF">2019-04-04T16:45:00Z</dcterms:modified>
</cp:coreProperties>
</file>