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F8" w:rsidRDefault="004C3EF8">
      <w:pPr>
        <w:rPr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hidden="0" allowOverlap="1" wp14:anchorId="74A3D87F" wp14:editId="4CB577CC">
            <wp:simplePos x="0" y="0"/>
            <wp:positionH relativeFrom="margin">
              <wp:posOffset>3844290</wp:posOffset>
            </wp:positionH>
            <wp:positionV relativeFrom="paragraph">
              <wp:posOffset>52705</wp:posOffset>
            </wp:positionV>
            <wp:extent cx="1748155" cy="733425"/>
            <wp:effectExtent l="0" t="0" r="4445" b="9525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EF8" w:rsidRDefault="004C3EF8">
      <w:pPr>
        <w:rPr>
          <w:sz w:val="32"/>
          <w:szCs w:val="32"/>
        </w:rPr>
      </w:pPr>
    </w:p>
    <w:p w:rsidR="004C3EF8" w:rsidRDefault="004C3EF8">
      <w:pPr>
        <w:rPr>
          <w:sz w:val="32"/>
          <w:szCs w:val="32"/>
        </w:rPr>
      </w:pPr>
    </w:p>
    <w:p w:rsidR="00F522BC" w:rsidRPr="000266D9" w:rsidRDefault="00C46E47">
      <w:pPr>
        <w:rPr>
          <w:sz w:val="32"/>
          <w:szCs w:val="32"/>
        </w:rPr>
      </w:pPr>
      <w:r w:rsidRPr="000266D9">
        <w:rPr>
          <w:sz w:val="32"/>
          <w:szCs w:val="32"/>
        </w:rPr>
        <w:t>Art_121_Fr_XX</w:t>
      </w:r>
      <w:r w:rsidR="00057BE3">
        <w:rPr>
          <w:sz w:val="32"/>
          <w:szCs w:val="32"/>
        </w:rPr>
        <w:t>X</w:t>
      </w:r>
      <w:r w:rsidRPr="000266D9">
        <w:rPr>
          <w:sz w:val="32"/>
          <w:szCs w:val="32"/>
        </w:rPr>
        <w:t>I</w:t>
      </w:r>
      <w:r w:rsidR="00057BE3">
        <w:rPr>
          <w:sz w:val="32"/>
          <w:szCs w:val="32"/>
        </w:rPr>
        <w:t>II</w:t>
      </w:r>
      <w:r w:rsidRPr="000266D9">
        <w:rPr>
          <w:sz w:val="32"/>
          <w:szCs w:val="32"/>
        </w:rPr>
        <w:t xml:space="preserve"> </w:t>
      </w:r>
      <w:r w:rsidR="00E40AC0">
        <w:rPr>
          <w:sz w:val="32"/>
          <w:szCs w:val="32"/>
        </w:rPr>
        <w:t>INFORME</w:t>
      </w:r>
      <w:r w:rsidR="00F522BC">
        <w:rPr>
          <w:sz w:val="32"/>
          <w:szCs w:val="32"/>
        </w:rPr>
        <w:t xml:space="preserve">S FINANCIEROS </w:t>
      </w:r>
      <w:bookmarkStart w:id="0" w:name="_GoBack"/>
      <w:bookmarkEnd w:id="0"/>
    </w:p>
    <w:p w:rsidR="00494B58" w:rsidRPr="009B6040" w:rsidRDefault="00494B58" w:rsidP="009B6040">
      <w:pPr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de conformidad con lo establecido en el Artículo 135 de la Ley de Presupuesto y Gasto Eficiente de la Ciudad de México que a la letra dice:</w:t>
      </w:r>
    </w:p>
    <w:p w:rsidR="005A1923" w:rsidRPr="009B6040" w:rsidRDefault="00494B58" w:rsidP="009B6040">
      <w:pPr>
        <w:ind w:left="705"/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 xml:space="preserve">ARTÍCULO 135.- Las Unidades Responsables del Gasto deberán remitir a la Secretaría el Informe Trimestral a que se refiere el Estatuto, dentro de los 15 días naturales siguientes de concluido cada trimestre… </w:t>
      </w:r>
      <w:r w:rsidR="00C46E47" w:rsidRPr="009B6040">
        <w:rPr>
          <w:i/>
          <w:sz w:val="28"/>
          <w:szCs w:val="28"/>
        </w:rPr>
        <w:t xml:space="preserve"> </w:t>
      </w:r>
    </w:p>
    <w:sectPr w:rsidR="005A1923" w:rsidRPr="009B6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7"/>
    <w:rsid w:val="000266D9"/>
    <w:rsid w:val="00057BE3"/>
    <w:rsid w:val="00494B58"/>
    <w:rsid w:val="004C3EF8"/>
    <w:rsid w:val="005A1923"/>
    <w:rsid w:val="009B6040"/>
    <w:rsid w:val="00C46E47"/>
    <w:rsid w:val="00E40AC0"/>
    <w:rsid w:val="00F522BC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9044-27CB-4C06-B6CF-E4228704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Karen Castillo Salas</dc:creator>
  <cp:lastModifiedBy>Ana Karen Castillo Salas</cp:lastModifiedBy>
  <cp:revision>5</cp:revision>
  <dcterms:created xsi:type="dcterms:W3CDTF">2018-10-22T17:54:00Z</dcterms:created>
  <dcterms:modified xsi:type="dcterms:W3CDTF">2019-01-30T18:39:00Z</dcterms:modified>
</cp:coreProperties>
</file>