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14" w:rsidRPr="00025F14" w:rsidRDefault="00025F14" w:rsidP="00025F14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 w:rsidRPr="00025F14">
        <w:rPr>
          <w:rFonts w:ascii="Arial" w:eastAsia="Times New Roman" w:hAnsi="Arial" w:cs="Arial"/>
          <w:b/>
          <w:bCs/>
          <w:color w:val="636262"/>
          <w:sz w:val="28"/>
          <w:szCs w:val="28"/>
        </w:rPr>
        <w:t>Héctor Mateo Infante Meléndez</w:t>
      </w:r>
    </w:p>
    <w:p w:rsidR="00025F14" w:rsidRPr="00025F14" w:rsidRDefault="00025F14" w:rsidP="00025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1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636262" stroked="f"/>
        </w:pict>
      </w:r>
    </w:p>
    <w:p w:rsidR="00025F14" w:rsidRPr="00025F14" w:rsidRDefault="00025F14" w:rsidP="00025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14">
        <w:rPr>
          <w:rFonts w:ascii="Arial" w:eastAsia="Times New Roman" w:hAnsi="Arial" w:cs="Arial"/>
          <w:b/>
          <w:bCs/>
          <w:color w:val="636262"/>
          <w:sz w:val="28"/>
        </w:rPr>
        <w:t>Director de Recursos Financieros</w:t>
      </w:r>
    </w:p>
    <w:p w:rsidR="00025F14" w:rsidRPr="00025F14" w:rsidRDefault="00025F14" w:rsidP="00025F14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2743200" cy="3369310"/>
            <wp:effectExtent l="19050" t="0" r="0" b="0"/>
            <wp:docPr id="2" name="Imagen 2" descr="http://www.dao.gob.mx/directorio/fotos/hectorminf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ectorminfan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36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F14" w:rsidRPr="00025F14" w:rsidRDefault="00025F14" w:rsidP="00025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14">
        <w:rPr>
          <w:rFonts w:ascii="Arial" w:eastAsia="Times New Roman" w:hAnsi="Arial" w:cs="Arial"/>
          <w:color w:val="636262"/>
          <w:sz w:val="28"/>
          <w:szCs w:val="28"/>
        </w:rPr>
        <w:br/>
      </w:r>
    </w:p>
    <w:tbl>
      <w:tblPr>
        <w:tblW w:w="9684" w:type="dxa"/>
        <w:tblCellSpacing w:w="15" w:type="dxa"/>
        <w:shd w:val="clear" w:color="auto" w:fill="FDFC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7093"/>
      </w:tblGrid>
      <w:tr w:rsidR="00025F14" w:rsidRPr="00025F14" w:rsidTr="00025F14">
        <w:trPr>
          <w:tblCellSpacing w:w="15" w:type="dxa"/>
        </w:trPr>
        <w:tc>
          <w:tcPr>
            <w:tcW w:w="1883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Doctorado en Derecho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Maestro en Administración Pública y Derecho Corporativo, asimismo tiene la Licenciatura en Derecho y otra en Economía. Cuenta con seis Especialidades en las siguientes materias: Mercadotecnia; Compras Gubernamentales; Administración de Recursos Materiales y Servicios Generales; Finanzas Públicas; Administración Pública y Administración y Desarrollo de Personal.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de Julio/2016 a actual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DIRECTOR DE RECURSOS FINANCIEROS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de abril/2004 a abril/2007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Secretaría de Educación Pública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Director de Planeación y Organización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de marzo/1994 a febrero/2004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Instituto Mexicano del Seguro Social</w:t>
            </w:r>
          </w:p>
        </w:tc>
      </w:tr>
      <w:tr w:rsidR="00025F14" w:rsidRPr="00025F14" w:rsidTr="00025F14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711" w:type="dxa"/>
            <w:shd w:val="clear" w:color="auto" w:fill="FDFCFC"/>
            <w:hideMark/>
          </w:tcPr>
          <w:p w:rsidR="00025F14" w:rsidRPr="00025F14" w:rsidRDefault="00025F14" w:rsidP="00025F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5F14">
              <w:rPr>
                <w:rFonts w:ascii="Arial" w:eastAsia="Times New Roman" w:hAnsi="Arial" w:cs="Arial"/>
                <w:sz w:val="24"/>
                <w:szCs w:val="24"/>
              </w:rPr>
              <w:t>Director de Administración</w:t>
            </w:r>
          </w:p>
        </w:tc>
      </w:tr>
    </w:tbl>
    <w:p w:rsidR="002F6CE9" w:rsidRDefault="002F6CE9"/>
    <w:sectPr w:rsidR="002F6C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025F14"/>
    <w:rsid w:val="00025F14"/>
    <w:rsid w:val="002F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2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25F14"/>
  </w:style>
  <w:style w:type="paragraph" w:styleId="NormalWeb">
    <w:name w:val="Normal (Web)"/>
    <w:basedOn w:val="Normal"/>
    <w:uiPriority w:val="99"/>
    <w:semiHidden/>
    <w:unhideWhenUsed/>
    <w:rsid w:val="0002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25F1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2</cp:revision>
  <dcterms:created xsi:type="dcterms:W3CDTF">2017-05-11T20:46:00Z</dcterms:created>
  <dcterms:modified xsi:type="dcterms:W3CDTF">2017-05-11T20:46:00Z</dcterms:modified>
</cp:coreProperties>
</file>