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Pr="00F04B7F" w:rsidRDefault="00F04B7F" w:rsidP="00F04B7F">
      <w:pPr>
        <w:jc w:val="center"/>
        <w:rPr>
          <w:rFonts w:ascii="Arial" w:hAnsi="Arial" w:cs="Arial"/>
          <w:b/>
          <w:sz w:val="96"/>
          <w:szCs w:val="96"/>
        </w:rPr>
      </w:pPr>
    </w:p>
    <w:p w:rsidR="00DA4B66" w:rsidRPr="00FC3D1C" w:rsidRDefault="00FC3D1C" w:rsidP="00FC3D1C">
      <w:pPr>
        <w:tabs>
          <w:tab w:val="left" w:pos="540"/>
          <w:tab w:val="center" w:pos="4419"/>
          <w:tab w:val="center" w:pos="4536"/>
          <w:tab w:val="left" w:pos="5954"/>
          <w:tab w:val="right" w:pos="8838"/>
        </w:tabs>
        <w:spacing w:after="0" w:line="360" w:lineRule="auto"/>
        <w:jc w:val="both"/>
        <w:rPr>
          <w:rFonts w:ascii="Arial" w:eastAsia="Batang" w:hAnsi="Arial" w:cs="Times New Roman"/>
          <w:caps/>
          <w:sz w:val="36"/>
          <w:szCs w:val="36"/>
          <w:lang w:val="es-ES" w:eastAsia="es-ES"/>
        </w:rPr>
      </w:pPr>
      <w:r w:rsidRPr="00FC3D1C">
        <w:rPr>
          <w:rFonts w:ascii="Calibri" w:eastAsia="Times New Roman" w:hAnsi="Calibri" w:cs="Arial"/>
          <w:caps/>
          <w:color w:val="000000"/>
          <w:sz w:val="36"/>
          <w:szCs w:val="36"/>
        </w:rPr>
        <w:t>De conformidad con el artículo 39, de la Ley Orgánica de la Administración Pública del Distrito Federal, no se encuentra  dentro de sus atribuciones de la jefa delegacional,  el registro y seguimiento de la evolución de la situación patrimonial de los servidores públicos. Así mismo  con fundamento en el artículo 105 del Reglamento Interior de la Ley de la Administración Pública del Distrito Federal es competencia de la   Contraloría General de la Ciudad de México, llevar a cabo dicho seguimiento de las mismas.</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FC3D1C">
      <w:headerReference w:type="default" r:id="rId8"/>
      <w:footerReference w:type="default" r:id="rId9"/>
      <w:pgSz w:w="12240" w:h="15840"/>
      <w:pgMar w:top="1843"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BBE" w:rsidRDefault="00AA1BBE" w:rsidP="00EF0F92">
      <w:pPr>
        <w:spacing w:after="0" w:line="240" w:lineRule="auto"/>
      </w:pPr>
      <w:r>
        <w:separator/>
      </w:r>
    </w:p>
  </w:endnote>
  <w:endnote w:type="continuationSeparator" w:id="1">
    <w:p w:rsidR="00AA1BBE" w:rsidRDefault="00AA1BBE"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D9690B" w:rsidRPr="00D9690B">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BBE" w:rsidRDefault="00AA1BBE" w:rsidP="00EF0F92">
      <w:pPr>
        <w:spacing w:after="0" w:line="240" w:lineRule="auto"/>
      </w:pPr>
      <w:r>
        <w:separator/>
      </w:r>
    </w:p>
  </w:footnote>
  <w:footnote w:type="continuationSeparator" w:id="1">
    <w:p w:rsidR="00AA1BBE" w:rsidRDefault="00AA1BBE"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D9690B">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7106"/>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1BBE"/>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9690B"/>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C3D1C"/>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Pages>
  <Words>80</Words>
  <Characters>444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531</cp:revision>
  <cp:lastPrinted>2017-04-18T17:13:00Z</cp:lastPrinted>
  <dcterms:created xsi:type="dcterms:W3CDTF">2016-07-05T19:48:00Z</dcterms:created>
  <dcterms:modified xsi:type="dcterms:W3CDTF">2017-06-20T21:54:00Z</dcterms:modified>
</cp:coreProperties>
</file>